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lastRenderedPageBreak/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>(a továbbiakban: Sz</w:t>
      </w:r>
      <w:r w:rsidR="000C39F0">
        <w:rPr>
          <w:sz w:val="22"/>
          <w:szCs w:val="22"/>
        </w:rPr>
        <w:t>kr</w:t>
      </w:r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r w:rsidR="00686B9D">
        <w:rPr>
          <w:sz w:val="22"/>
          <w:szCs w:val="22"/>
        </w:rPr>
        <w:t>Szkr.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 xml:space="preserve">ban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6E623A19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33754F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Szkt.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5D009ED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Tanulói jogviszonyban kizárólag teljes munkaidős szakképzési munkaszerződés köthető, 18 éves korig a heti munkaidő egységesen 35 óra az Szkt. 78. § (1) </w:t>
      </w:r>
      <w:r w:rsidR="005D4239">
        <w:t xml:space="preserve">bekezdése </w:t>
      </w:r>
      <w:r>
        <w:t xml:space="preserve">értelmében. </w:t>
      </w:r>
      <w:r w:rsidR="004269F1">
        <w:t xml:space="preserve">18 éves kor felett az Mt. 92. § (4) </w:t>
      </w:r>
      <w:r w:rsidR="005D4239">
        <w:t xml:space="preserve">bekezdése </w:t>
      </w:r>
      <w:r w:rsidR="004269F1">
        <w:t xml:space="preserve">értelmében </w:t>
      </w:r>
      <w:r w:rsidR="004269F1" w:rsidRPr="004269F1">
        <w:t>az általános teljes napi munkaidőnél rövidebb teljes napi munkaidő</w:t>
      </w:r>
      <w:r w:rsidR="004269F1">
        <w:t xml:space="preserve"> is megállapítható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3754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A737-384E-4DAB-BC89-1D6D5F6B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Hellenpárt György</dc:creator>
  <cp:lastModifiedBy>Hellenpárt György</cp:lastModifiedBy>
  <cp:revision>2</cp:revision>
  <cp:lastPrinted>2020-09-29T09:38:00Z</cp:lastPrinted>
  <dcterms:created xsi:type="dcterms:W3CDTF">2023-09-01T07:07:00Z</dcterms:created>
  <dcterms:modified xsi:type="dcterms:W3CDTF">2023-09-01T07:07:00Z</dcterms:modified>
</cp:coreProperties>
</file>